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A08F" w14:textId="0626825B" w:rsidR="009F2CD9" w:rsidRPr="009F2CD9" w:rsidRDefault="009F2CD9" w:rsidP="009F2CD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9F2CD9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第69集覺有情者</w:t>
      </w:r>
      <w:r w:rsidRPr="009F2CD9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7C1493D1" w14:textId="44617A10" w:rsidR="009F2CD9" w:rsidRPr="009F2CD9" w:rsidRDefault="009F2CD9" w:rsidP="009F2CD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要旨簡報：發大心行大願，覺有情之路</w:t>
      </w:r>
    </w:p>
    <w:p w14:paraId="3C77A7D2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56DF689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深入剖析了證嚴上人的開示，闡明了學佛者應如何發大心、立大願，最終成為「覺有情者」（菩薩）的核心路徑。開示強調，此過程始於具備深厚的善根與智慧，進而正信並理解大乘佛法，最終將其付諸於「上求佛道，下化眾生」的菩薩大行。</w:t>
      </w:r>
    </w:p>
    <w:p w14:paraId="7697B80A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為了具體說明心念與因緣果報的深遠影響，開示詳細講述了</w:t>
      </w:r>
      <w:r w:rsidRPr="00DA59C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阿闍世王的故事。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此故事圍繞著預言、親情、背叛、懺悔與救贖展開，深刻揭示了一念之差如何導致家庭悲劇與個人苦難。</w:t>
      </w:r>
      <w:r w:rsidRPr="00DA59C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阿闍世王從一個受提婆達多蠱惑而囚父篡位的逆子，到因自身愛子之心而幡然悔悟，最終皈依佛法、發願護法，其經歷成為一個關於因果輪迴與懺悔力量的警世實例。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最終，本文將此故事與發心立願的教誨相結合，強調時時守護心念，把握因緣，修大行、立大因，方能成就大果，免於陷入無解的怨結。</w:t>
      </w:r>
    </w:p>
    <w:p w14:paraId="357C4268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B0C6379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成為「覺有情者」的核心要件</w:t>
      </w:r>
    </w:p>
    <w:p w14:paraId="2551150A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4241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「覺有情者」即為覺悟世間苦難而甘願倒駕慈航、入人群中救度眾生的菩薩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。要達到此境界，學佛者必須遵循一條清晰而嚴謹的修行次第，其核心在於發大心、立大願、行大志業，以確保在追求佛法的道路上不致偏差。</w:t>
      </w:r>
    </w:p>
    <w:p w14:paraId="32A0F2AE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修行次第與內涵</w:t>
      </w:r>
    </w:p>
    <w:p w14:paraId="638AD314" w14:textId="77777777" w:rsid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此修行路徑可歸納為以下四個相輔相成的階段：</w:t>
      </w:r>
    </w:p>
    <w:p w14:paraId="73F33056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2CAF8F95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47B533A8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3B926F6C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7337E09A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28D4EE05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460DF018" w14:textId="77777777" w:rsidR="00EE5B81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3D7F2A3B" w14:textId="77777777" w:rsidR="00EE5B81" w:rsidRPr="009F2CD9" w:rsidRDefault="00EE5B81" w:rsidP="009F2CD9">
      <w:pPr>
        <w:spacing w:before="100" w:beforeAutospacing="1" w:after="100" w:afterAutospacing="1" w:line="240" w:lineRule="auto"/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559"/>
        <w:gridCol w:w="7764"/>
      </w:tblGrid>
      <w:tr w:rsidR="009F2CD9" w:rsidRPr="009F2CD9" w14:paraId="020784C2" w14:textId="77777777" w:rsidTr="00242413"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863F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階段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12E0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構成要素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FFC1B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詳細闡述</w:t>
            </w:r>
          </w:p>
        </w:tc>
      </w:tr>
      <w:tr w:rsidR="009F2CD9" w:rsidRPr="009F2CD9" w14:paraId="032660E4" w14:textId="77777777" w:rsidTr="00242413"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BE25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1. 根基與智慧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79012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有大根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&lt;br&gt;</w:t>
            </w: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具大智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F268" w14:textId="56FD4A42" w:rsidR="009F2CD9" w:rsidRPr="009F2CD9" w:rsidRDefault="009F2CD9" w:rsidP="0024241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大根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</w:t>
            </w:r>
            <w:r w:rsidRPr="00242413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指過去生已結下深厚佛緣，雖未證悟，但已具備接受大法的根機。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此為宿世因緣的累積。&lt;br&gt;</w:t>
            </w: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大智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：指具足能夠領悟佛法深意的智慧，一旦接觸正法便能產生信心。</w:t>
            </w:r>
          </w:p>
        </w:tc>
      </w:tr>
      <w:tr w:rsidR="009F2CD9" w:rsidRPr="009F2CD9" w14:paraId="12796578" w14:textId="77777777" w:rsidTr="00242413"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FCDE3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2. 信解與領悟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A6D1C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信大法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&lt;br&gt;</w:t>
            </w: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解大理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8AE73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大法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</w:t>
            </w:r>
            <w:r w:rsidRPr="00242413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指大乘佛法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。信為道源功德母，學佛首要建立「正信」。&lt;br&gt;</w:t>
            </w: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大理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：指透過正信，能進一步理解大乘佛法的廣大深遠道理，不僅止於相信，更能深入領悟。</w:t>
            </w:r>
          </w:p>
        </w:tc>
      </w:tr>
      <w:tr w:rsidR="009F2CD9" w:rsidRPr="009F2CD9" w14:paraId="0449DB00" w14:textId="77777777" w:rsidTr="00242413"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67174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3. 實踐與立因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B4636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修大行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&lt;br&gt;</w:t>
            </w: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立大因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13BA5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大行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</w:t>
            </w:r>
            <w:r w:rsidRPr="00242413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指菩薩行。其精髓在於「上求下化」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——對上，不斷追求佛法正理；對下，積極將所學的正確教法傳達給苦難眾生。&lt;br&gt;</w:t>
            </w: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大因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：指把握今生成熟的因緣，鞏固過去的善因，並為未來眾生再造福因、廣結善緣。</w:t>
            </w:r>
          </w:p>
        </w:tc>
      </w:tr>
      <w:tr w:rsidR="009F2CD9" w:rsidRPr="009F2CD9" w14:paraId="19C4814B" w14:textId="77777777" w:rsidTr="00242413"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4001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4. 成就與圓滿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B3843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細明體"/>
                <w:b w:val="0"/>
                <w:color w:val="auto"/>
                <w:kern w:val="0"/>
                <w:szCs w:val="28"/>
                <w:lang w:bidi="ar-SA"/>
              </w:rPr>
              <w:t>成大果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2A45" w14:textId="77777777" w:rsidR="009F2CD9" w:rsidRPr="009F2CD9" w:rsidRDefault="009F2CD9" w:rsidP="009F2C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2CD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大果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：指透過生生世世守護一念心，不斷累積善因善緣，使道業愈趨成熟，最終成就</w:t>
            </w:r>
            <w:r w:rsidRPr="00242413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正等正覺的佛果</w:t>
            </w:r>
            <w:r w:rsidRPr="009F2C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</w:tr>
    </w:tbl>
    <w:p w14:paraId="22A0E720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此過程是一個連貫的因緣果報累積，從奠定根基到最終證果，每一步都圍繞著利益眾生的菩薩願行，這才是「覺有情」的真正涵義。</w:t>
      </w:r>
    </w:p>
    <w:p w14:paraId="11CF780A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42413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阿闍世王之因緣：一個關於怨恨、懺悔與護法的實例</w:t>
      </w:r>
    </w:p>
    <w:p w14:paraId="5F3CE110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為了闡明心念、因緣與果報的複雜互動，開示引用了《法華經序品》中「韋提希子阿闍世王」的典故，詳述其充滿戲劇性的一生。</w:t>
      </w:r>
    </w:p>
    <w:p w14:paraId="3D92FCF4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未生之怨與逆倫之始</w:t>
      </w:r>
    </w:p>
    <w:p w14:paraId="4AFEE3D2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阿闍世王的名字本身帶有「未生怨」之意，其悲劇根源於他出生前的一則預言。</w:t>
      </w:r>
    </w:p>
    <w:p w14:paraId="2F76DE8F" w14:textId="77777777" w:rsidR="009F2CD9" w:rsidRPr="009F2CD9" w:rsidRDefault="009F2CD9" w:rsidP="009F2C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預言與父王心結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相命師預言韋提希夫人腹中之子將對國王不利。頻婆娑羅王為此憂心忡忡，在阿闍世出生後，一時無明生起，將其拋下。雖嬰孩幸運獲救，僅手指受傷，但此事已種下怨恨的種子。國王事後心懷內疚，對阿闍世百般疼愛。</w:t>
      </w:r>
    </w:p>
    <w:p w14:paraId="7E44E3AB" w14:textId="77777777" w:rsidR="009F2CD9" w:rsidRPr="009F2CD9" w:rsidRDefault="009F2CD9" w:rsidP="009F2C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提婆達多之蠱惑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：佛陀的堂弟提婆達多，雖聰明但心術不正，他利用神通諂媚阿闍世，並與其合謀。兩人約定：提婆達多反佛作新佛，阿闍世反父作新王。</w:t>
      </w:r>
    </w:p>
    <w:p w14:paraId="33DF2184" w14:textId="77777777" w:rsidR="009F2CD9" w:rsidRPr="009F2CD9" w:rsidRDefault="009F2CD9" w:rsidP="009F2C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囚父篡位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：受提婆達多影響，阿闍世心生叛逆，趁父親出城之機封鎖王宮，將其囚禁於牢獄，並斷絕飲食。</w:t>
      </w:r>
    </w:p>
    <w:p w14:paraId="12158B50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韋提希夫人的厭離與求法</w:t>
      </w:r>
    </w:p>
    <w:p w14:paraId="5F8E450B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面對至親的背叛與家庭的崩解，韋提希夫人身心俱疲，但她仍努力維繫國王的生命，並從佛法中尋求解脫。</w:t>
      </w:r>
    </w:p>
    <w:p w14:paraId="6FFB8DAF" w14:textId="77777777" w:rsidR="009F2CD9" w:rsidRPr="009F2CD9" w:rsidRDefault="009F2CD9" w:rsidP="009F2C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慈母救父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：她每日將炒過的糖拌上蜂蜜，塗抹在衣服內層，藉探監之機為國王補充營養，維持其生命。</w:t>
      </w:r>
    </w:p>
    <w:p w14:paraId="207778D9" w14:textId="77777777" w:rsidR="009F2CD9" w:rsidRPr="009F2CD9" w:rsidRDefault="009F2CD9" w:rsidP="009F2C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厭離娑婆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：深感人間矛盾與兒子忤逆之罪，韋提希對此世界產生極大的厭離心。她轉而向佛陀求法，尋求心靈依靠。</w:t>
      </w:r>
    </w:p>
    <w:p w14:paraId="2263E37E" w14:textId="77777777" w:rsidR="009F2CD9" w:rsidRPr="009F2CD9" w:rsidRDefault="009F2CD9" w:rsidP="009F2C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證無生法忍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：佛陀為她開示了《觀無量壽經》，引導她修持淨土法門。韋提希因此厭惡閻浮提（娑婆世界），嚮往淨土，並在修行中證得「無生法忍」，了悟世事本質，超越了堪忍世界的痛苦。</w:t>
      </w:r>
    </w:p>
    <w:p w14:paraId="6D1B1743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懺悔的契機與悲劇的結局</w:t>
      </w:r>
    </w:p>
    <w:p w14:paraId="435851E9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阿闍世王的轉變，源於他自身為人父的體驗，但其父親的結局卻充滿悲劇色彩。</w:t>
      </w:r>
    </w:p>
    <w:p w14:paraId="2E4B3921" w14:textId="77777777" w:rsidR="009F2CD9" w:rsidRPr="009F2CD9" w:rsidRDefault="009F2CD9" w:rsidP="009F2C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愛子之心的觸動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：一次，阿闍世為取悅愛子，竟與一隻狗同桌吃飯。他感嘆自己堂堂國王竟為兒子如此。此時，韋提希告訴他：「你小時候腳趾化膿，你的父親曾用嘴為你吸出膿血。」</w:t>
      </w:r>
    </w:p>
    <w:p w14:paraId="16DB6688" w14:textId="77777777" w:rsidR="009F2CD9" w:rsidRPr="009F2CD9" w:rsidRDefault="009F2CD9" w:rsidP="009F2C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幡然悔悟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：聽到父親如此疼愛自己的往事，阿闍世內心受到巨大震撼，立刻懺悔，並下令打開牢門，迎接父親。</w:t>
      </w:r>
    </w:p>
    <w:p w14:paraId="79F92414" w14:textId="77777777" w:rsidR="009F2CD9" w:rsidRPr="009F2CD9" w:rsidRDefault="009F2CD9" w:rsidP="009F2C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頻婆娑羅王之死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與此同時，在獄中的頻婆娑羅王已多日未食，身心俱疲。佛陀派遣目犍連尊者以神通為其說法。正當國王心生貪著，幻想享用天人食物時，聽聞獄外阿闍世前來開門的聲響，一時驚嚇，誤以為兒子要來殺害自己，心神動盪之下即刻往生。</w:t>
      </w:r>
    </w:p>
    <w:p w14:paraId="65EA07B4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悔悟、皈依與護法</w:t>
      </w:r>
    </w:p>
    <w:p w14:paraId="5E3668B8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父親的悲劇性死亡讓阿闍世悔恨不已，他身患重病，最終在佛法中找到救贖。</w:t>
      </w:r>
    </w:p>
    <w:p w14:paraId="685C3CFF" w14:textId="77777777" w:rsidR="009F2CD9" w:rsidRPr="009F2CD9" w:rsidRDefault="009F2CD9" w:rsidP="009F2C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求佛懺悔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：在弟弟的建議下，阿闍世前往靈鷲山求見佛陀。在文殊菩薩的接引下，他至誠懺悔過往的罪行，皈依佛法。</w:t>
      </w:r>
    </w:p>
    <w:p w14:paraId="359D00E4" w14:textId="77777777" w:rsidR="009F2CD9" w:rsidRPr="009F2CD9" w:rsidRDefault="009F2CD9" w:rsidP="009F2C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發願護法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：儘管病情日漸沉重，阿闍世仍發願護持佛法。在佛陀宣講《法華經》的法會上，他抱病出席，成為與會大眾之一。</w:t>
      </w:r>
    </w:p>
    <w:p w14:paraId="63380723" w14:textId="77777777" w:rsidR="009F2CD9" w:rsidRPr="00242413" w:rsidRDefault="009F2CD9" w:rsidP="009F2C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經文中的記載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4241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《法華經》之所以記載「韋提希子阿闍世」，是為了點出其母親韋提希是開啟《觀無量壽經》法門的重要因緣，並說明阿闍世王本人確實參與了此次殊勝的法會。</w:t>
      </w:r>
    </w:p>
    <w:p w14:paraId="7776C186" w14:textId="77777777" w:rsidR="009F2CD9" w:rsidRPr="009F2CD9" w:rsidRDefault="009F2CD9" w:rsidP="009F2C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核心教誨與結論</w:t>
      </w:r>
    </w:p>
    <w:p w14:paraId="21EB1C88" w14:textId="77777777" w:rsidR="009F2CD9" w:rsidRPr="009F2CD9" w:rsidRDefault="009F2CD9" w:rsidP="009F2C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阿闍世王的故事是對「發大心、立大願」教誨的深刻註解。它揭示了心念的力量——一念之差，可造就無法挽回的怨結與悲劇。</w:t>
      </w:r>
    </w:p>
    <w:p w14:paraId="53B241C8" w14:textId="77777777" w:rsidR="009F2CD9" w:rsidRPr="009F2CD9" w:rsidRDefault="009F2CD9" w:rsidP="009F2C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時時守護心念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4241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學佛最重要的是時刻觀照自己的起心動念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。阿闍世王的「未生怨」及其後的逆行，皆源於未能守護好一念心，最終導致了無法化解的遺憾。</w:t>
      </w:r>
    </w:p>
    <w:p w14:paraId="78926E38" w14:textId="77777777" w:rsidR="009F2CD9" w:rsidRPr="009F2CD9" w:rsidRDefault="009F2CD9" w:rsidP="009F2C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把握因緣，修大乘行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：開示最終回到起點，勸勉大眾應把握當下因緣，發大心，修習「上求下化」的菩薩大行，積極入人群中廣結善緣。</w:t>
      </w:r>
    </w:p>
    <w:p w14:paraId="249B4F02" w14:textId="77777777" w:rsidR="009F2CD9" w:rsidRPr="009F2CD9" w:rsidRDefault="009F2CD9" w:rsidP="009F2C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2C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成就大因大果</w:t>
      </w:r>
      <w:r w:rsidRPr="009F2C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：唯有如此，才能將過去、現在與未來的善因善緣不斷累積，避免因一時動念而造成無盡的怨恨，最終成就圓滿的佛果，成為真正的「覺有情者」。</w:t>
      </w:r>
    </w:p>
    <w:p w14:paraId="3877EFED" w14:textId="77777777" w:rsidR="0036778A" w:rsidRPr="009F2CD9" w:rsidRDefault="0036778A">
      <w:pPr>
        <w:rPr>
          <w:rFonts w:ascii="標楷體" w:hAnsi="標楷體"/>
          <w:szCs w:val="28"/>
        </w:rPr>
      </w:pPr>
    </w:p>
    <w:sectPr w:rsidR="0036778A" w:rsidRPr="009F2CD9" w:rsidSect="009F2CD9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8D1B" w14:textId="77777777" w:rsidR="00F27983" w:rsidRDefault="00F27983" w:rsidP="00EE5B81">
      <w:pPr>
        <w:spacing w:line="240" w:lineRule="auto"/>
      </w:pPr>
      <w:r>
        <w:separator/>
      </w:r>
    </w:p>
  </w:endnote>
  <w:endnote w:type="continuationSeparator" w:id="0">
    <w:p w14:paraId="5DFA56BD" w14:textId="77777777" w:rsidR="00F27983" w:rsidRDefault="00F27983" w:rsidP="00EE5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C60F" w14:textId="77777777" w:rsidR="00F27983" w:rsidRDefault="00F27983" w:rsidP="00EE5B81">
      <w:pPr>
        <w:spacing w:line="240" w:lineRule="auto"/>
      </w:pPr>
      <w:r>
        <w:separator/>
      </w:r>
    </w:p>
  </w:footnote>
  <w:footnote w:type="continuationSeparator" w:id="0">
    <w:p w14:paraId="06312A2D" w14:textId="77777777" w:rsidR="00F27983" w:rsidRDefault="00F27983" w:rsidP="00EE5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54D5"/>
    <w:multiLevelType w:val="multilevel"/>
    <w:tmpl w:val="8D54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A06C4"/>
    <w:multiLevelType w:val="multilevel"/>
    <w:tmpl w:val="98DA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51B3F"/>
    <w:multiLevelType w:val="multilevel"/>
    <w:tmpl w:val="0BB8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529F8"/>
    <w:multiLevelType w:val="multilevel"/>
    <w:tmpl w:val="8F32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1C0777"/>
    <w:multiLevelType w:val="multilevel"/>
    <w:tmpl w:val="B33A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50229">
    <w:abstractNumId w:val="4"/>
  </w:num>
  <w:num w:numId="2" w16cid:durableId="1655523383">
    <w:abstractNumId w:val="1"/>
  </w:num>
  <w:num w:numId="3" w16cid:durableId="569508886">
    <w:abstractNumId w:val="2"/>
  </w:num>
  <w:num w:numId="4" w16cid:durableId="1882861654">
    <w:abstractNumId w:val="3"/>
  </w:num>
  <w:num w:numId="5" w16cid:durableId="101295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D9"/>
    <w:rsid w:val="000206D7"/>
    <w:rsid w:val="00242413"/>
    <w:rsid w:val="0036778A"/>
    <w:rsid w:val="0079273F"/>
    <w:rsid w:val="009F2CD9"/>
    <w:rsid w:val="00DA59CB"/>
    <w:rsid w:val="00EE5B81"/>
    <w:rsid w:val="00F2191E"/>
    <w:rsid w:val="00F2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B9B2A"/>
  <w15:chartTrackingRefBased/>
  <w15:docId w15:val="{45C5B424-D2B2-441A-A2AE-7DD92A32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2C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CD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CD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CD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CD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CD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CD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F2CD9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9F2CD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9F2CD9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9F2CD9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9F2CD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F2CD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F2CD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F2CD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F2C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C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9F2CD9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9F2C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9F2CD9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9F2C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F2C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C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2C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2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F2C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2CD9"/>
    <w:rPr>
      <w:b w:val="0"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5B8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EE5B81"/>
    <w:rPr>
      <w:sz w:val="20"/>
      <w:szCs w:val="18"/>
    </w:rPr>
  </w:style>
  <w:style w:type="paragraph" w:styleId="af0">
    <w:name w:val="footer"/>
    <w:basedOn w:val="a"/>
    <w:link w:val="af1"/>
    <w:uiPriority w:val="99"/>
    <w:unhideWhenUsed/>
    <w:rsid w:val="00EE5B8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EE5B81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1191</Words>
  <Characters>1252</Characters>
  <Application>Microsoft Office Word</Application>
  <DocSecurity>0</DocSecurity>
  <Lines>56</Lines>
  <Paragraphs>54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2026-01-28T08:42:00Z</dcterms:created>
  <dcterms:modified xsi:type="dcterms:W3CDTF">2026-01-29T08:49:00Z</dcterms:modified>
</cp:coreProperties>
</file>