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1FE20E" w14:textId="03E4470F" w:rsidR="005C7C77" w:rsidRPr="005C7C77" w:rsidRDefault="005C7C77" w:rsidP="005C7C77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標楷體" w:hAnsi="標楷體" w:cs="新細明體"/>
          <w:bCs/>
          <w:color w:val="EE0000"/>
          <w:kern w:val="36"/>
          <w:szCs w:val="28"/>
          <w:lang w:bidi="ar-SA"/>
        </w:rPr>
      </w:pPr>
      <w:r w:rsidRPr="005C7C77">
        <w:rPr>
          <w:rFonts w:ascii="標楷體" w:hAnsi="標楷體" w:cs="新細明體"/>
          <w:bCs/>
          <w:color w:val="EE0000"/>
          <w:kern w:val="36"/>
          <w:szCs w:val="28"/>
          <w:lang w:bidi="ar-SA"/>
        </w:rPr>
        <w:t>《法華經 序品第一》 - 第60集四無礙辯才</w:t>
      </w:r>
      <w:r w:rsidRPr="005C7C77">
        <w:rPr>
          <w:rFonts w:ascii="標楷體" w:hAnsi="標楷體" w:cs="新細明體" w:hint="eastAsia"/>
          <w:bCs/>
          <w:color w:val="EE0000"/>
          <w:kern w:val="36"/>
          <w:szCs w:val="28"/>
          <w:lang w:bidi="ar-SA"/>
        </w:rPr>
        <w:t>notebooklm</w:t>
      </w:r>
    </w:p>
    <w:p w14:paraId="3F0773E8" w14:textId="3036A6CC" w:rsidR="005C7C77" w:rsidRPr="005C7C77" w:rsidRDefault="005C7C77" w:rsidP="005C7C77">
      <w:pPr>
        <w:spacing w:before="100" w:beforeAutospacing="1" w:after="100" w:afterAutospacing="1" w:line="240" w:lineRule="auto"/>
        <w:outlineLvl w:val="0"/>
        <w:rPr>
          <w:rFonts w:ascii="標楷體" w:hAnsi="標楷體" w:cs="新細明體"/>
          <w:bCs/>
          <w:color w:val="auto"/>
          <w:kern w:val="36"/>
          <w:szCs w:val="28"/>
          <w:lang w:bidi="ar-SA"/>
        </w:rPr>
      </w:pPr>
      <w:r w:rsidRPr="005C7C77">
        <w:rPr>
          <w:rFonts w:ascii="標楷體" w:hAnsi="標楷體" w:cs="新細明體" w:hint="eastAsia"/>
          <w:bCs/>
          <w:color w:val="auto"/>
          <w:kern w:val="36"/>
          <w:szCs w:val="28"/>
          <w:lang w:bidi="ar-SA"/>
        </w:rPr>
        <w:t>notebooklm</w:t>
      </w:r>
    </w:p>
    <w:p w14:paraId="1167D564" w14:textId="58EAB3FA" w:rsidR="005C7C77" w:rsidRPr="005C7C77" w:rsidRDefault="005C7C77" w:rsidP="005C7C77">
      <w:pPr>
        <w:spacing w:before="100" w:beforeAutospacing="1" w:after="100" w:afterAutospacing="1" w:line="240" w:lineRule="auto"/>
        <w:outlineLvl w:val="0"/>
        <w:rPr>
          <w:rFonts w:ascii="標楷體" w:hAnsi="標楷體" w:cs="新細明體"/>
          <w:bCs/>
          <w:color w:val="auto"/>
          <w:kern w:val="36"/>
          <w:szCs w:val="28"/>
          <w:lang w:bidi="ar-SA"/>
        </w:rPr>
      </w:pPr>
      <w:r w:rsidRPr="005C7C77">
        <w:rPr>
          <w:rFonts w:ascii="標楷體" w:hAnsi="標楷體" w:cs="新細明體"/>
          <w:bCs/>
          <w:color w:val="auto"/>
          <w:kern w:val="36"/>
          <w:szCs w:val="28"/>
          <w:lang w:bidi="ar-SA"/>
        </w:rPr>
        <w:t>學佛者的修行藍圖：從立志、正覺到轉法輪</w:t>
      </w:r>
    </w:p>
    <w:p w14:paraId="57722136" w14:textId="77777777" w:rsidR="005C7C77" w:rsidRPr="005C7C77" w:rsidRDefault="005C7C77" w:rsidP="005C7C77">
      <w:pPr>
        <w:spacing w:before="100" w:beforeAutospacing="1" w:after="100" w:afterAutospacing="1" w:line="240" w:lineRule="auto"/>
        <w:outlineLvl w:val="1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5C7C77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執行摘要</w:t>
      </w:r>
    </w:p>
    <w:p w14:paraId="5071042F" w14:textId="77777777" w:rsidR="005C7C77" w:rsidRPr="002961C5" w:rsidRDefault="005C7C77" w:rsidP="005C7C77">
      <w:pPr>
        <w:spacing w:before="100" w:beforeAutospacing="1" w:after="100" w:afterAutospacing="1" w:line="240" w:lineRule="auto"/>
        <w:rPr>
          <w:rFonts w:ascii="標楷體" w:hAnsi="標楷體" w:cs="新細明體"/>
          <w:bCs/>
          <w:color w:val="002060"/>
          <w:kern w:val="0"/>
          <w:szCs w:val="28"/>
          <w:lang w:bidi="ar-SA"/>
        </w:rPr>
      </w:pPr>
      <w:r w:rsidRPr="005C7C77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本文件概述了佛教修行者從發心到成就的完整路徑。其核心要點始於</w:t>
      </w:r>
      <w:r w:rsidRPr="002961C5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修行者必須建立一個清淨無雜、堅定不移的志願（立志精心），目標是朝向菩提覺道精進，最終達到清淨法界的境地。</w:t>
      </w:r>
      <w:r w:rsidRPr="002961C5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此過程的關鍵在於證得「正覺」，即無上正等正覺，它區別於外道的邪見，確保修行者在正確的道路上前進而不退轉。</w:t>
      </w:r>
    </w:p>
    <w:p w14:paraId="1ABA6AAD" w14:textId="77777777" w:rsidR="005C7C77" w:rsidRPr="005C7C77" w:rsidRDefault="005C7C77" w:rsidP="005C7C77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2961C5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達到不退轉層次的菩薩，將證得「陀羅尼」（總持）的境界，能夠從一法通達無量法，總攝一切法門與善行。由此成就，自然引發「樂說辯才」，即以「四無礙辯」（法、義、詞、樂說）善巧方便地弘揚佛法，不受任何障礙。</w:t>
      </w:r>
      <w:r w:rsidRPr="005C7C77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最終的實踐目標是「轉不退轉法輪」，運用圓滿的佛法智慧，摧破世間的無明煩惱，將惡轉為善、染轉為淨，從而淨化人心，普及正法於人間。</w:t>
      </w:r>
    </w:p>
    <w:p w14:paraId="7C9B1C07" w14:textId="77777777" w:rsidR="005C7C77" w:rsidRPr="005C7C77" w:rsidRDefault="005C7C77" w:rsidP="005C7C77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5C7C77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-------------------------------------------------------------------------------- </w:t>
      </w:r>
    </w:p>
    <w:p w14:paraId="658F26B0" w14:textId="77777777" w:rsidR="005C7C77" w:rsidRPr="005C7C77" w:rsidRDefault="005C7C77" w:rsidP="005C7C77">
      <w:pPr>
        <w:spacing w:before="100" w:beforeAutospacing="1" w:after="100" w:afterAutospacing="1" w:line="240" w:lineRule="auto"/>
        <w:outlineLvl w:val="1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5C7C77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一、學佛之始：立志精心與正覺之道</w:t>
      </w:r>
    </w:p>
    <w:p w14:paraId="3FCC0860" w14:textId="77777777" w:rsidR="005C7C77" w:rsidRPr="005C7C77" w:rsidRDefault="005C7C77" w:rsidP="005C7C77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5C7C77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佛法修行的起點在於確立明確而純粹的志向。修行者首要的任務是「立志精心」，意指以一個不夾雜、清淨無染的心，立下學佛的志願。</w:t>
      </w:r>
    </w:p>
    <w:p w14:paraId="116A2DEF" w14:textId="77777777" w:rsidR="005C7C77" w:rsidRPr="005B7102" w:rsidRDefault="005C7C77" w:rsidP="005C7C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標楷體" w:hAnsi="標楷體" w:cs="新細明體"/>
          <w:bCs/>
          <w:color w:val="002060"/>
          <w:kern w:val="0"/>
          <w:szCs w:val="28"/>
          <w:lang w:bidi="ar-SA"/>
        </w:rPr>
      </w:pPr>
      <w:r w:rsidRPr="005C7C77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修行目標</w:t>
      </w:r>
      <w:r w:rsidRPr="005C7C77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</w:t>
      </w:r>
      <w:r w:rsidRPr="005B7102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學佛的終極目標是「向菩提覺道精進」，直至抵達「清淨法界的境地」。</w:t>
      </w:r>
      <w:r w:rsidRPr="005B7102">
        <w:rPr>
          <w:rFonts w:ascii="標楷體" w:hAnsi="標楷體" w:cs="新細明體"/>
          <w:bCs/>
          <w:color w:val="002060"/>
          <w:kern w:val="0"/>
          <w:szCs w:val="28"/>
          <w:highlight w:val="yellow"/>
          <w:lang w:bidi="ar-SA"/>
        </w:rPr>
        <w:t>這是一條從學習（學）到覺悟（覺）的道路</w:t>
      </w:r>
      <w:r w:rsidRPr="005B7102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，其最高境界即是「阿耨多羅三藐三菩提」，亦即「無上正等正覺」。</w:t>
      </w:r>
    </w:p>
    <w:p w14:paraId="3170E23F" w14:textId="77777777" w:rsidR="005C7C77" w:rsidRPr="005C7C77" w:rsidRDefault="005C7C77" w:rsidP="005C7C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5C7C77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正覺的特質</w:t>
      </w:r>
      <w:r w:rsidRPr="005B7102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：正覺的道路是取於「中道」的「真空妙有」之理，是一條康莊菩提大直道。</w:t>
      </w:r>
      <w:r w:rsidRPr="005C7C77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它與外道的「邪覺」有根本區別。修行者必須保持心念精而不雜，才能在正道上穩步前行，不受毫釐之偏的邪道誘引。</w:t>
      </w:r>
    </w:p>
    <w:p w14:paraId="52A45C1C" w14:textId="77777777" w:rsidR="005C7C77" w:rsidRPr="005C7C77" w:rsidRDefault="005C7C77" w:rsidP="005C7C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5C7C77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進而不退的關鍵</w:t>
      </w:r>
      <w:r w:rsidRPr="005C7C77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</w:t>
      </w:r>
      <w:r w:rsidRPr="005B7102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修行中最需警惕的障礙是偏邪境界所帶來的誘惑</w:t>
      </w:r>
      <w:r w:rsidRPr="005C7C77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。唯有內心精純，不為外境所動搖，才能在正覺的道路上「進而不退」。證得正覺，即是修行不退轉的保證。</w:t>
      </w:r>
    </w:p>
    <w:p w14:paraId="066E741E" w14:textId="77777777" w:rsidR="005C7C77" w:rsidRPr="005C7C77" w:rsidRDefault="005C7C77" w:rsidP="005C7C77">
      <w:pPr>
        <w:spacing w:before="100" w:beforeAutospacing="1" w:after="100" w:afterAutospacing="1" w:line="240" w:lineRule="auto"/>
        <w:outlineLvl w:val="1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5C7C77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二、菩薩的成就：</w:t>
      </w:r>
      <w:r w:rsidRPr="005B7102">
        <w:rPr>
          <w:rFonts w:ascii="標楷體" w:hAnsi="標楷體" w:cs="新細明體"/>
          <w:bCs/>
          <w:color w:val="auto"/>
          <w:kern w:val="0"/>
          <w:szCs w:val="28"/>
          <w:highlight w:val="yellow"/>
          <w:lang w:bidi="ar-SA"/>
        </w:rPr>
        <w:t>陀羅尼總持法門</w:t>
      </w:r>
    </w:p>
    <w:p w14:paraId="5669637C" w14:textId="77777777" w:rsidR="005C7C77" w:rsidRPr="005B7102" w:rsidRDefault="005C7C77" w:rsidP="005C7C77">
      <w:pPr>
        <w:spacing w:before="100" w:beforeAutospacing="1" w:after="100" w:afterAutospacing="1" w:line="240" w:lineRule="auto"/>
        <w:rPr>
          <w:rFonts w:ascii="標楷體" w:hAnsi="標楷體" w:cs="新細明體"/>
          <w:bCs/>
          <w:color w:val="EE0000"/>
          <w:kern w:val="0"/>
          <w:szCs w:val="28"/>
          <w:lang w:bidi="ar-SA"/>
        </w:rPr>
      </w:pPr>
      <w:r w:rsidRPr="005B7102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當修行者達到正覺不退轉的層次，便能「皆得陀羅尼」</w:t>
      </w:r>
      <w:r w:rsidRPr="005C7C77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。</w:t>
      </w:r>
      <w:r w:rsidRPr="005B7102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「陀羅尼」意為「總持」，是高等級菩薩所具備的悲智雙運的境界。</w:t>
      </w:r>
    </w:p>
    <w:p w14:paraId="241A7BEB" w14:textId="77777777" w:rsidR="005C7C77" w:rsidRPr="005C7C77" w:rsidRDefault="005C7C77" w:rsidP="005C7C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5C7C77">
        <w:rPr>
          <w:rFonts w:ascii="標楷體" w:hAnsi="標楷體" w:cs="新細明體"/>
          <w:bCs/>
          <w:color w:val="auto"/>
          <w:kern w:val="0"/>
          <w:szCs w:val="28"/>
          <w:lang w:bidi="ar-SA"/>
        </w:rPr>
        <w:lastRenderedPageBreak/>
        <w:t>陀羅尼的定義</w:t>
      </w:r>
      <w:r w:rsidRPr="005C7C77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</w:t>
      </w:r>
      <w:r w:rsidRPr="00CB70BB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「總持」意味著對佛法的全面把握與融會貫通</w:t>
      </w:r>
      <w:r w:rsidRPr="005C7C77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。其核心概念包括：</w:t>
      </w:r>
    </w:p>
    <w:p w14:paraId="2710A11E" w14:textId="77777777" w:rsidR="005C7C77" w:rsidRPr="005C7C77" w:rsidRDefault="005C7C77" w:rsidP="005C7C77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CB70BB">
        <w:rPr>
          <w:rFonts w:ascii="標楷體" w:hAnsi="標楷體" w:cs="新細明體"/>
          <w:bCs/>
          <w:color w:val="auto"/>
          <w:kern w:val="0"/>
          <w:szCs w:val="28"/>
          <w:highlight w:val="yellow"/>
          <w:lang w:bidi="ar-SA"/>
        </w:rPr>
        <w:t>一字通無量義</w:t>
      </w:r>
      <w:r w:rsidRPr="005C7C77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：「於一字能通無量法門」，從單一的字或概念中，能通達無量的法理。</w:t>
      </w:r>
    </w:p>
    <w:p w14:paraId="4401BEF6" w14:textId="77777777" w:rsidR="005C7C77" w:rsidRPr="005C7C77" w:rsidRDefault="005C7C77" w:rsidP="005C7C77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CB70BB">
        <w:rPr>
          <w:rFonts w:ascii="標楷體" w:hAnsi="標楷體" w:cs="新細明體"/>
          <w:bCs/>
          <w:color w:val="auto"/>
          <w:kern w:val="0"/>
          <w:szCs w:val="28"/>
          <w:highlight w:val="yellow"/>
          <w:lang w:bidi="ar-SA"/>
        </w:rPr>
        <w:t>一門攝無量義</w:t>
      </w:r>
      <w:r w:rsidRPr="005C7C77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：「於一門能攝無量義理」，從一個法門進入，便能理解其中蘊含的所有道理。</w:t>
      </w:r>
    </w:p>
    <w:p w14:paraId="1207ACA6" w14:textId="77777777" w:rsidR="005C7C77" w:rsidRPr="005C7C77" w:rsidRDefault="005C7C77" w:rsidP="005C7C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5C7C77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總持的功能</w:t>
      </w:r>
      <w:r w:rsidRPr="00CB70BB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：陀羅尼的精髓在於「總一切法，持一切善」</w:t>
      </w:r>
      <w:r w:rsidRPr="005C7C77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。它如同收放自如的網，撒出時廣大無邊，收回時歸於一處源頭。這意味著一旦掌握了核心法要，便能通達所有法，並持守一切善行，所做所為皆不會偏差。</w:t>
      </w:r>
    </w:p>
    <w:p w14:paraId="4B772882" w14:textId="77777777" w:rsidR="005C7C77" w:rsidRPr="005C7C77" w:rsidRDefault="005C7C77" w:rsidP="005C7C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5C7C77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旋陀羅尼的境界</w:t>
      </w:r>
      <w:r w:rsidRPr="005C7C77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</w:t>
      </w:r>
      <w:r w:rsidRPr="00CB70BB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如《法華經》所提及的「萬億旋陀羅尼」，指的是證得一法便能通達無量義理，達到法門中最圓滿具足、出入無礙的自在境界</w:t>
      </w:r>
      <w:r w:rsidRPr="005C7C77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。無論是出世間法或入世間法，皆能悠遊其中，圓滿無礙。</w:t>
      </w:r>
    </w:p>
    <w:p w14:paraId="3559D2A7" w14:textId="77777777" w:rsidR="005C7C77" w:rsidRPr="005C7C77" w:rsidRDefault="005C7C77" w:rsidP="005C7C77">
      <w:pPr>
        <w:spacing w:before="100" w:beforeAutospacing="1" w:after="100" w:afterAutospacing="1" w:line="240" w:lineRule="auto"/>
        <w:outlineLvl w:val="1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5C7C77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三、弘法的能力：樂說辯才與四無礙辯</w:t>
      </w:r>
    </w:p>
    <w:p w14:paraId="51F318D3" w14:textId="77777777" w:rsidR="005C7C77" w:rsidRPr="00CB70BB" w:rsidRDefault="005C7C77" w:rsidP="005C7C77">
      <w:pPr>
        <w:spacing w:before="100" w:beforeAutospacing="1" w:after="100" w:afterAutospacing="1" w:line="240" w:lineRule="auto"/>
        <w:rPr>
          <w:rFonts w:ascii="標楷體" w:hAnsi="標楷體" w:cs="新細明體"/>
          <w:bCs/>
          <w:color w:val="EE0000"/>
          <w:kern w:val="0"/>
          <w:szCs w:val="28"/>
          <w:lang w:bidi="ar-SA"/>
        </w:rPr>
      </w:pPr>
      <w:r w:rsidRPr="00CB70BB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證得「陀羅尼」之後，修行者自然具備「樂說辯才」的能力。這是一種發自內心、充滿歡喜地向眾生弘揚佛法的才能，其基礎是「四無礙辯」。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5"/>
        <w:gridCol w:w="1701"/>
        <w:gridCol w:w="7764"/>
      </w:tblGrid>
      <w:tr w:rsidR="005C7C77" w:rsidRPr="005C7C77" w14:paraId="02F0A59F" w14:textId="77777777" w:rsidTr="005C1A0B">
        <w:tc>
          <w:tcPr>
            <w:tcW w:w="4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0C2D6B" w14:textId="77777777" w:rsidR="005C7C77" w:rsidRPr="005C7C77" w:rsidRDefault="005C7C77" w:rsidP="005C7C77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5C7C77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四無礙辯</w:t>
            </w:r>
          </w:p>
        </w:tc>
        <w:tc>
          <w:tcPr>
            <w:tcW w:w="8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3748BF" w14:textId="77777777" w:rsidR="005C7C77" w:rsidRPr="005C7C77" w:rsidRDefault="005C7C77" w:rsidP="005C7C77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5C7C77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定義</w:t>
            </w:r>
          </w:p>
        </w:tc>
        <w:tc>
          <w:tcPr>
            <w:tcW w:w="37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EEB05C" w14:textId="77777777" w:rsidR="005C7C77" w:rsidRPr="005C7C77" w:rsidRDefault="005C7C77" w:rsidP="005C7C77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5C7C77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說明</w:t>
            </w:r>
          </w:p>
        </w:tc>
      </w:tr>
      <w:tr w:rsidR="005C7C77" w:rsidRPr="005C7C77" w14:paraId="7F3D1318" w14:textId="77777777" w:rsidTr="005C1A0B">
        <w:tc>
          <w:tcPr>
            <w:tcW w:w="4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0E8353" w14:textId="77777777" w:rsidR="005C7C77" w:rsidRPr="005C7C77" w:rsidRDefault="005C7C77" w:rsidP="005C7C77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5C7C77">
              <w:rPr>
                <w:rFonts w:ascii="標楷體" w:hAnsi="標楷體" w:cs="新細明體"/>
                <w:bCs/>
                <w:color w:val="auto"/>
                <w:kern w:val="0"/>
                <w:szCs w:val="28"/>
                <w:lang w:bidi="ar-SA"/>
              </w:rPr>
              <w:t>法無礙</w:t>
            </w:r>
          </w:p>
        </w:tc>
        <w:tc>
          <w:tcPr>
            <w:tcW w:w="8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D0FAB1" w14:textId="77777777" w:rsidR="005C7C77" w:rsidRPr="00CB70BB" w:rsidRDefault="005C7C77" w:rsidP="005C7C77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Cs/>
                <w:color w:val="auto"/>
                <w:kern w:val="0"/>
                <w:szCs w:val="28"/>
                <w:lang w:bidi="ar-SA"/>
              </w:rPr>
            </w:pPr>
            <w:r w:rsidRPr="00CB70BB">
              <w:rPr>
                <w:rFonts w:ascii="標楷體" w:hAnsi="標楷體" w:cs="新細明體"/>
                <w:bCs/>
                <w:color w:val="EE0000"/>
                <w:kern w:val="0"/>
                <w:szCs w:val="28"/>
                <w:lang w:bidi="ar-SA"/>
              </w:rPr>
              <w:t>於世出世法，說不謬故</w:t>
            </w:r>
          </w:p>
        </w:tc>
        <w:tc>
          <w:tcPr>
            <w:tcW w:w="37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2E4C98" w14:textId="77777777" w:rsidR="005C7C77" w:rsidRPr="005C7C77" w:rsidRDefault="005C7C77" w:rsidP="005C7C77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5C7C77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無論是做人的倫理道德、忠孝節義等「世間法」，還是心無執著、不受外物妨礙道念的「出世間法」，都能清晰透徹、深入淺出地解說，</w:t>
            </w:r>
            <w:r w:rsidRPr="00CB70BB">
              <w:rPr>
                <w:rFonts w:ascii="標楷體" w:hAnsi="標楷體" w:cs="新細明體"/>
                <w:bCs/>
                <w:color w:val="EE0000"/>
                <w:kern w:val="0"/>
                <w:szCs w:val="28"/>
                <w:lang w:bidi="ar-SA"/>
              </w:rPr>
              <w:t>使人聽懂且能做到</w:t>
            </w:r>
            <w:r w:rsidRPr="005C7C77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。</w:t>
            </w:r>
          </w:p>
        </w:tc>
      </w:tr>
      <w:tr w:rsidR="005C7C77" w:rsidRPr="005C7C77" w14:paraId="12F9E617" w14:textId="77777777" w:rsidTr="005C1A0B">
        <w:tc>
          <w:tcPr>
            <w:tcW w:w="4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12828B" w14:textId="77777777" w:rsidR="005C7C77" w:rsidRPr="005C7C77" w:rsidRDefault="005C7C77" w:rsidP="005C7C77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5C7C77">
              <w:rPr>
                <w:rFonts w:ascii="標楷體" w:hAnsi="標楷體" w:cs="新細明體"/>
                <w:bCs/>
                <w:color w:val="auto"/>
                <w:kern w:val="0"/>
                <w:szCs w:val="28"/>
                <w:lang w:bidi="ar-SA"/>
              </w:rPr>
              <w:t>義無礙</w:t>
            </w:r>
          </w:p>
        </w:tc>
        <w:tc>
          <w:tcPr>
            <w:tcW w:w="8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26EE08" w14:textId="77777777" w:rsidR="005C7C77" w:rsidRPr="00CB70BB" w:rsidRDefault="005C7C77" w:rsidP="005C7C77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Cs/>
                <w:color w:val="auto"/>
                <w:kern w:val="0"/>
                <w:szCs w:val="28"/>
                <w:lang w:bidi="ar-SA"/>
              </w:rPr>
            </w:pPr>
            <w:r w:rsidRPr="00CB70BB">
              <w:rPr>
                <w:rFonts w:ascii="標楷體" w:hAnsi="標楷體" w:cs="新細明體"/>
                <w:bCs/>
                <w:color w:val="EE0000"/>
                <w:kern w:val="0"/>
                <w:szCs w:val="28"/>
                <w:lang w:bidi="ar-SA"/>
              </w:rPr>
              <w:t>於權實等義，所說盡理故</w:t>
            </w:r>
          </w:p>
        </w:tc>
        <w:tc>
          <w:tcPr>
            <w:tcW w:w="37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867315" w14:textId="77777777" w:rsidR="005C7C77" w:rsidRPr="005C7C77" w:rsidRDefault="005C7C77" w:rsidP="005C7C77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5C7C77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對於</w:t>
            </w:r>
            <w:r w:rsidRPr="00CB70BB">
              <w:rPr>
                <w:rFonts w:ascii="標楷體" w:hAnsi="標楷體" w:cs="新細明體"/>
                <w:bCs/>
                <w:color w:val="002060"/>
                <w:kern w:val="0"/>
                <w:szCs w:val="28"/>
                <w:lang w:bidi="ar-SA"/>
              </w:rPr>
              <w:t>「權法」（為適應眾生根機所設的方便法門）與「實法」（真實的菩薩道法），皆能圓融無礙地闡述。</w:t>
            </w:r>
            <w:r w:rsidRPr="005C7C77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理解方便法是引導根機未熟眾生的必要過程，</w:t>
            </w:r>
            <w:r w:rsidRPr="005C1A0B">
              <w:rPr>
                <w:rFonts w:ascii="標楷體" w:hAnsi="標楷體" w:cs="新細明體"/>
                <w:bCs/>
                <w:color w:val="EE0000"/>
                <w:kern w:val="0"/>
                <w:szCs w:val="28"/>
                <w:lang w:bidi="ar-SA"/>
              </w:rPr>
              <w:t>最終目標是將其帶入真實法。</w:t>
            </w:r>
          </w:p>
        </w:tc>
      </w:tr>
      <w:tr w:rsidR="005C7C77" w:rsidRPr="005C7C77" w14:paraId="5888F496" w14:textId="77777777" w:rsidTr="005C1A0B">
        <w:tc>
          <w:tcPr>
            <w:tcW w:w="4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FCC4C5" w14:textId="77777777" w:rsidR="005C7C77" w:rsidRPr="005C7C77" w:rsidRDefault="005C7C77" w:rsidP="005C7C77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5C7C77">
              <w:rPr>
                <w:rFonts w:ascii="標楷體" w:hAnsi="標楷體" w:cs="新細明體"/>
                <w:bCs/>
                <w:color w:val="auto"/>
                <w:kern w:val="0"/>
                <w:szCs w:val="28"/>
                <w:lang w:bidi="ar-SA"/>
              </w:rPr>
              <w:t>詞無礙</w:t>
            </w:r>
          </w:p>
        </w:tc>
        <w:tc>
          <w:tcPr>
            <w:tcW w:w="8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1566D2" w14:textId="77777777" w:rsidR="005C7C77" w:rsidRPr="00CB70BB" w:rsidRDefault="005C7C77" w:rsidP="005C7C77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Cs/>
                <w:color w:val="auto"/>
                <w:kern w:val="0"/>
                <w:szCs w:val="28"/>
                <w:lang w:bidi="ar-SA"/>
              </w:rPr>
            </w:pPr>
            <w:r w:rsidRPr="00CB70BB">
              <w:rPr>
                <w:rFonts w:ascii="標楷體" w:hAnsi="標楷體" w:cs="新細明體"/>
                <w:bCs/>
                <w:color w:val="EE0000"/>
                <w:kern w:val="0"/>
                <w:szCs w:val="28"/>
                <w:lang w:bidi="ar-SA"/>
              </w:rPr>
              <w:t>不礙於種種方言音聲，而演圓音</w:t>
            </w:r>
          </w:p>
        </w:tc>
        <w:tc>
          <w:tcPr>
            <w:tcW w:w="37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167B66" w14:textId="77777777" w:rsidR="005C7C77" w:rsidRPr="005C7C77" w:rsidRDefault="005C7C77" w:rsidP="005C7C77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5C1A0B">
              <w:rPr>
                <w:rFonts w:ascii="標楷體" w:hAnsi="標楷體" w:cs="新細明體"/>
                <w:bCs/>
                <w:color w:val="002060"/>
                <w:kern w:val="0"/>
                <w:szCs w:val="28"/>
                <w:lang w:bidi="ar-SA"/>
              </w:rPr>
              <w:t>能夠超越語言、方言的隔閡，將佛法核心義理傳達給不同種族、文化背景的眾生</w:t>
            </w:r>
            <w:r w:rsidRPr="005C7C77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。</w:t>
            </w:r>
            <w:r w:rsidRPr="005C1A0B">
              <w:rPr>
                <w:rFonts w:ascii="標楷體" w:hAnsi="標楷體" w:cs="新細明體"/>
                <w:bCs/>
                <w:color w:val="auto"/>
                <w:kern w:val="0"/>
                <w:szCs w:val="28"/>
                <w:highlight w:val="yellow"/>
                <w:lang w:bidi="ar-SA"/>
              </w:rPr>
              <w:t>如同慈濟在海地的經驗，</w:t>
            </w:r>
            <w:r w:rsidRPr="005C7C77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雖然語言不同，但佛法的道理能被當地人接受並投入實踐。</w:t>
            </w:r>
            <w:r w:rsidRPr="005C1A0B">
              <w:rPr>
                <w:rFonts w:ascii="標楷體" w:hAnsi="標楷體" w:cs="新細明體"/>
                <w:bCs/>
                <w:color w:val="EE0000"/>
                <w:kern w:val="0"/>
                <w:szCs w:val="28"/>
                <w:lang w:bidi="ar-SA"/>
              </w:rPr>
              <w:t>法的道理透過圓融的演說，能適應各種根機。</w:t>
            </w:r>
          </w:p>
        </w:tc>
      </w:tr>
      <w:tr w:rsidR="005C7C77" w:rsidRPr="005C7C77" w14:paraId="1F18F1E8" w14:textId="77777777" w:rsidTr="005C1A0B">
        <w:tc>
          <w:tcPr>
            <w:tcW w:w="4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1BF423" w14:textId="77777777" w:rsidR="005C7C77" w:rsidRPr="005C7C77" w:rsidRDefault="005C7C77" w:rsidP="005C7C77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5C7C77">
              <w:rPr>
                <w:rFonts w:ascii="標楷體" w:hAnsi="標楷體" w:cs="新細明體"/>
                <w:bCs/>
                <w:color w:val="auto"/>
                <w:kern w:val="0"/>
                <w:szCs w:val="28"/>
                <w:lang w:bidi="ar-SA"/>
              </w:rPr>
              <w:t>樂說無礙</w:t>
            </w:r>
          </w:p>
        </w:tc>
        <w:tc>
          <w:tcPr>
            <w:tcW w:w="8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71ADCB" w14:textId="77777777" w:rsidR="005C7C77" w:rsidRPr="00CB70BB" w:rsidRDefault="005C7C77" w:rsidP="005C7C77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Cs/>
                <w:color w:val="auto"/>
                <w:kern w:val="0"/>
                <w:szCs w:val="28"/>
                <w:lang w:bidi="ar-SA"/>
              </w:rPr>
            </w:pPr>
            <w:r w:rsidRPr="00CB70BB">
              <w:rPr>
                <w:rFonts w:ascii="標楷體" w:hAnsi="標楷體" w:cs="新細明體"/>
                <w:bCs/>
                <w:color w:val="EE0000"/>
                <w:kern w:val="0"/>
                <w:szCs w:val="28"/>
                <w:lang w:bidi="ar-SA"/>
              </w:rPr>
              <w:t>能契於一切眾生之機，而為說法</w:t>
            </w:r>
          </w:p>
        </w:tc>
        <w:tc>
          <w:tcPr>
            <w:tcW w:w="37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251EBD" w14:textId="77777777" w:rsidR="005C7C77" w:rsidRPr="005C7C77" w:rsidRDefault="005C7C77" w:rsidP="005C7C77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5C1A0B">
              <w:rPr>
                <w:rFonts w:ascii="標楷體" w:hAnsi="標楷體" w:cs="新細明體"/>
                <w:bCs/>
                <w:color w:val="002060"/>
                <w:kern w:val="0"/>
                <w:szCs w:val="28"/>
                <w:lang w:bidi="ar-SA"/>
              </w:rPr>
              <w:t>能夠隨順眾生的心性與喜好，以他們最能接受的方式說法。</w:t>
            </w:r>
            <w:r w:rsidRPr="005C7C77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如同對孩子說話需用孩子的語調，對不同根機的人應採用不同的言詞與深淺，</w:t>
            </w:r>
            <w:r w:rsidRPr="005C1A0B">
              <w:rPr>
                <w:rFonts w:ascii="標楷體" w:hAnsi="標楷體" w:cs="新細明體"/>
                <w:bCs/>
                <w:color w:val="EE0000"/>
                <w:kern w:val="0"/>
                <w:szCs w:val="28"/>
                <w:lang w:bidi="ar-SA"/>
              </w:rPr>
              <w:t>使其聽後心生歡喜，信受奉行。</w:t>
            </w:r>
          </w:p>
        </w:tc>
      </w:tr>
    </w:tbl>
    <w:p w14:paraId="1B05226E" w14:textId="77777777" w:rsidR="005C7C77" w:rsidRPr="005C1A0B" w:rsidRDefault="005C7C77" w:rsidP="005C7C77">
      <w:pPr>
        <w:spacing w:before="100" w:beforeAutospacing="1" w:after="100" w:afterAutospacing="1" w:line="240" w:lineRule="auto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5C1A0B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擁有此四無礙辯才，便能有效地弘揚佛法，應對眾生根機的利鈍差異，使聽聞者皆能信受並如法修行。</w:t>
      </w:r>
    </w:p>
    <w:p w14:paraId="2F06A4F0" w14:textId="77777777" w:rsidR="005C7C77" w:rsidRPr="005C7C77" w:rsidRDefault="005C7C77" w:rsidP="005C7C77">
      <w:pPr>
        <w:spacing w:before="100" w:beforeAutospacing="1" w:after="100" w:afterAutospacing="1" w:line="240" w:lineRule="auto"/>
        <w:outlineLvl w:val="1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5C7C77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四、修行的實踐：轉不退轉法輪</w:t>
      </w:r>
    </w:p>
    <w:p w14:paraId="2CF24FE6" w14:textId="77777777" w:rsidR="005C7C77" w:rsidRPr="005C7C77" w:rsidRDefault="005C7C77" w:rsidP="005C7C77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5C7C77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修行者在具備陀羅尼與樂說辯才後，其最終的使命是「轉不退轉法輪」，將佛法在人間推廣，發揮其淨化社會的功能。</w:t>
      </w:r>
    </w:p>
    <w:p w14:paraId="66EFF3AF" w14:textId="77777777" w:rsidR="005C7C77" w:rsidRPr="005C1A0B" w:rsidRDefault="005C7C77" w:rsidP="005C7C7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標楷體" w:hAnsi="標楷體" w:cs="新細明體"/>
          <w:bCs/>
          <w:color w:val="002060"/>
          <w:kern w:val="0"/>
          <w:szCs w:val="28"/>
          <w:lang w:bidi="ar-SA"/>
        </w:rPr>
      </w:pPr>
      <w:r w:rsidRPr="005C7C77">
        <w:rPr>
          <w:rFonts w:ascii="標楷體" w:hAnsi="標楷體" w:cs="新細明體"/>
          <w:bCs/>
          <w:color w:val="auto"/>
          <w:kern w:val="0"/>
          <w:szCs w:val="28"/>
          <w:lang w:bidi="ar-SA"/>
        </w:rPr>
        <w:lastRenderedPageBreak/>
        <w:t>法輪的譬喻</w:t>
      </w:r>
      <w:r w:rsidRPr="005C7C77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</w:t>
      </w:r>
      <w:r w:rsidRPr="005C1A0B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「輪」有圓滿與轉動之義。</w:t>
      </w:r>
    </w:p>
    <w:p w14:paraId="1E646535" w14:textId="77777777" w:rsidR="005C7C77" w:rsidRPr="005C1A0B" w:rsidRDefault="005C7C77" w:rsidP="005C7C77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標楷體" w:hAnsi="標楷體" w:cs="新細明體"/>
          <w:bCs/>
          <w:color w:val="002060"/>
          <w:kern w:val="0"/>
          <w:szCs w:val="28"/>
          <w:lang w:bidi="ar-SA"/>
        </w:rPr>
      </w:pPr>
      <w:r w:rsidRPr="005C7C77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圓滿之義</w:t>
      </w:r>
      <w:r w:rsidRPr="005C7C77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</w:t>
      </w:r>
      <w:r w:rsidRPr="005C1A0B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佛法的道理圓滿無缺，故以圓形的「輪」來譬喻。</w:t>
      </w:r>
    </w:p>
    <w:p w14:paraId="0C8B538F" w14:textId="77777777" w:rsidR="005C7C77" w:rsidRPr="005C7C77" w:rsidRDefault="005C7C77" w:rsidP="005C7C77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5C7C77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轉動之義</w:t>
      </w:r>
      <w:r w:rsidRPr="005C7C77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</w:t>
      </w:r>
      <w:r w:rsidRPr="005C1A0B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佛法具有轉化功能，能摧破一切無明與煩惱。</w:t>
      </w:r>
    </w:p>
    <w:p w14:paraId="58115C5B" w14:textId="77777777" w:rsidR="005C7C77" w:rsidRPr="005C7C77" w:rsidRDefault="005C7C77" w:rsidP="005C7C7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5C7C77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轉動的內涵</w:t>
      </w:r>
      <w:r w:rsidRPr="005C7C77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：轉法輪的實踐意涵包括：</w:t>
      </w:r>
    </w:p>
    <w:p w14:paraId="2D10ECDF" w14:textId="77777777" w:rsidR="005C7C77" w:rsidRPr="005C7C77" w:rsidRDefault="005C7C77" w:rsidP="005C7C77">
      <w:pPr>
        <w:numPr>
          <w:ilvl w:val="1"/>
          <w:numId w:val="4"/>
        </w:numPr>
        <w:spacing w:before="100" w:beforeAutospacing="1" w:after="100" w:afterAutospacing="1" w:line="240" w:lineRule="auto"/>
        <w:ind w:left="1440" w:hanging="360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5C7C77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轉惡為善</w:t>
      </w:r>
      <w:r w:rsidRPr="005C7C77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：轉化邪惡的念頭與行為，使其向善。</w:t>
      </w:r>
    </w:p>
    <w:p w14:paraId="7D5BEA5E" w14:textId="77777777" w:rsidR="005C7C77" w:rsidRPr="005C7C77" w:rsidRDefault="005C7C77" w:rsidP="005C7C77">
      <w:pPr>
        <w:numPr>
          <w:ilvl w:val="1"/>
          <w:numId w:val="4"/>
        </w:numPr>
        <w:spacing w:before="100" w:beforeAutospacing="1" w:after="100" w:afterAutospacing="1" w:line="240" w:lineRule="auto"/>
        <w:ind w:left="1440" w:hanging="360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5C7C77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轉染為淨</w:t>
      </w:r>
      <w:r w:rsidRPr="005C7C77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：將眾生被污染的心，用佛法的清流來淨化。</w:t>
      </w:r>
    </w:p>
    <w:p w14:paraId="4A3B23AA" w14:textId="77777777" w:rsidR="005C7C77" w:rsidRPr="005C7C77" w:rsidRDefault="005C7C77" w:rsidP="005C7C77">
      <w:pPr>
        <w:numPr>
          <w:ilvl w:val="1"/>
          <w:numId w:val="4"/>
        </w:numPr>
        <w:spacing w:before="100" w:beforeAutospacing="1" w:after="100" w:afterAutospacing="1" w:line="240" w:lineRule="auto"/>
        <w:ind w:left="1440" w:hanging="360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5C7C77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摧破無明</w:t>
      </w:r>
      <w:r w:rsidRPr="005C7C77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：唯有佛法能深入人心，破除眾生的無明與煩惱。</w:t>
      </w:r>
    </w:p>
    <w:p w14:paraId="59D412FD" w14:textId="77777777" w:rsidR="005C7C77" w:rsidRPr="005C7C77" w:rsidRDefault="005C7C77" w:rsidP="005C7C77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5C7C77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總而言之，學佛的道路是一條從「學」到「覺」的過程。修行者需時時用心，從立下清淨的志願開始，穩步邁向正覺，最終以圓滿的智慧與辯才，在人間轉動法輪，使佛法如清流般普及人心，實現其淨化世界的終極價值。</w:t>
      </w:r>
    </w:p>
    <w:p w14:paraId="277A440F" w14:textId="77777777" w:rsidR="0036778A" w:rsidRPr="005C7C77" w:rsidRDefault="0036778A">
      <w:pPr>
        <w:rPr>
          <w:rFonts w:ascii="標楷體" w:hAnsi="標楷體"/>
          <w:szCs w:val="28"/>
        </w:rPr>
      </w:pPr>
    </w:p>
    <w:sectPr w:rsidR="0036778A" w:rsidRPr="005C7C77" w:rsidSect="005C7C77">
      <w:pgSz w:w="11906" w:h="16838"/>
      <w:pgMar w:top="720" w:right="720" w:bottom="720" w:left="720" w:header="851" w:footer="992" w:gutter="0"/>
      <w:cols w:space="425"/>
      <w:docGrid w:type="lines"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B4529D"/>
    <w:multiLevelType w:val="multilevel"/>
    <w:tmpl w:val="D598A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C47295D"/>
    <w:multiLevelType w:val="multilevel"/>
    <w:tmpl w:val="158CE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A6F0068"/>
    <w:multiLevelType w:val="multilevel"/>
    <w:tmpl w:val="97BC8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68451810">
    <w:abstractNumId w:val="0"/>
  </w:num>
  <w:num w:numId="2" w16cid:durableId="299237597">
    <w:abstractNumId w:val="1"/>
  </w:num>
  <w:num w:numId="3" w16cid:durableId="1548570611">
    <w:abstractNumId w:val="2"/>
  </w:num>
  <w:num w:numId="4" w16cid:durableId="736786079">
    <w:abstractNumId w:val="2"/>
    <w:lvlOverride w:ilvl="1">
      <w:lvl w:ilvl="1">
        <w:numFmt w:val="decimal"/>
        <w:lvlText w:val="%2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defaultTabStop w:val="480"/>
  <w:drawingGridHorizontalSpacing w:val="140"/>
  <w:drawingGridVerticalSpacing w:val="381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7C77"/>
    <w:rsid w:val="002961C5"/>
    <w:rsid w:val="0036778A"/>
    <w:rsid w:val="003D00FB"/>
    <w:rsid w:val="005B7102"/>
    <w:rsid w:val="005C1A0B"/>
    <w:rsid w:val="005C7C77"/>
    <w:rsid w:val="00B94E09"/>
    <w:rsid w:val="00BC0E80"/>
    <w:rsid w:val="00BD7E7C"/>
    <w:rsid w:val="00CB7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3D5F00"/>
  <w15:chartTrackingRefBased/>
  <w15:docId w15:val="{3F9C19F2-8FDD-42D5-A155-78A4106FA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標楷體" w:hAnsiTheme="minorHAnsi" w:cstheme="minorBidi"/>
        <w:b/>
        <w:color w:val="000000" w:themeColor="text1"/>
        <w:kern w:val="2"/>
        <w:sz w:val="28"/>
        <w:lang w:val="en-US" w:eastAsia="zh-TW" w:bidi="hi-IN"/>
      </w:rPr>
    </w:rPrDefault>
    <w:pPrDefault>
      <w:pPr>
        <w:spacing w:line="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C7C77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3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C7C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C7C77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29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C7C77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Cs w:val="25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C7C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C7C77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C7C77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C7C77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C7C77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5C7C77"/>
    <w:rPr>
      <w:rFonts w:asciiTheme="majorHAnsi" w:eastAsiaTheme="majorEastAsia" w:hAnsiTheme="majorHAnsi" w:cstheme="majorBidi"/>
      <w:color w:val="0F4761" w:themeColor="accent1" w:themeShade="BF"/>
      <w:sz w:val="48"/>
      <w:szCs w:val="43"/>
    </w:rPr>
  </w:style>
  <w:style w:type="character" w:customStyle="1" w:styleId="20">
    <w:name w:val="標題 2 字元"/>
    <w:basedOn w:val="a0"/>
    <w:link w:val="2"/>
    <w:uiPriority w:val="9"/>
    <w:semiHidden/>
    <w:rsid w:val="005C7C77"/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character" w:customStyle="1" w:styleId="30">
    <w:name w:val="標題 3 字元"/>
    <w:basedOn w:val="a0"/>
    <w:link w:val="3"/>
    <w:uiPriority w:val="9"/>
    <w:semiHidden/>
    <w:rsid w:val="005C7C77"/>
    <w:rPr>
      <w:rFonts w:eastAsiaTheme="majorEastAsia" w:cstheme="majorBidi"/>
      <w:color w:val="0F4761" w:themeColor="accent1" w:themeShade="BF"/>
      <w:sz w:val="32"/>
      <w:szCs w:val="29"/>
    </w:rPr>
  </w:style>
  <w:style w:type="character" w:customStyle="1" w:styleId="40">
    <w:name w:val="標題 4 字元"/>
    <w:basedOn w:val="a0"/>
    <w:link w:val="4"/>
    <w:uiPriority w:val="9"/>
    <w:semiHidden/>
    <w:rsid w:val="005C7C77"/>
    <w:rPr>
      <w:rFonts w:eastAsiaTheme="majorEastAsia" w:cstheme="majorBidi"/>
      <w:color w:val="0F4761" w:themeColor="accent1" w:themeShade="BF"/>
      <w:szCs w:val="25"/>
    </w:rPr>
  </w:style>
  <w:style w:type="character" w:customStyle="1" w:styleId="50">
    <w:name w:val="標題 5 字元"/>
    <w:basedOn w:val="a0"/>
    <w:link w:val="5"/>
    <w:uiPriority w:val="9"/>
    <w:semiHidden/>
    <w:rsid w:val="005C7C77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5C7C77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5C7C77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5C7C77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5C7C7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C7C77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0"/>
    </w:rPr>
  </w:style>
  <w:style w:type="character" w:customStyle="1" w:styleId="a4">
    <w:name w:val="標題 字元"/>
    <w:basedOn w:val="a0"/>
    <w:link w:val="a3"/>
    <w:uiPriority w:val="10"/>
    <w:rsid w:val="005C7C77"/>
    <w:rPr>
      <w:rFonts w:asciiTheme="majorHAnsi" w:eastAsiaTheme="majorEastAsia" w:hAnsiTheme="majorHAnsi" w:cstheme="majorBidi"/>
      <w:color w:val="auto"/>
      <w:spacing w:val="-10"/>
      <w:kern w:val="28"/>
      <w:sz w:val="56"/>
      <w:szCs w:val="50"/>
    </w:rPr>
  </w:style>
  <w:style w:type="paragraph" w:styleId="a5">
    <w:name w:val="Subtitle"/>
    <w:basedOn w:val="a"/>
    <w:next w:val="a"/>
    <w:link w:val="a6"/>
    <w:uiPriority w:val="11"/>
    <w:qFormat/>
    <w:rsid w:val="005C7C77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Cs w:val="25"/>
    </w:rPr>
  </w:style>
  <w:style w:type="character" w:customStyle="1" w:styleId="a6">
    <w:name w:val="副標題 字元"/>
    <w:basedOn w:val="a0"/>
    <w:link w:val="a5"/>
    <w:uiPriority w:val="11"/>
    <w:rsid w:val="005C7C77"/>
    <w:rPr>
      <w:rFonts w:asciiTheme="majorHAnsi" w:eastAsiaTheme="majorEastAsia" w:hAnsiTheme="majorHAnsi" w:cstheme="majorBidi"/>
      <w:color w:val="595959" w:themeColor="text1" w:themeTint="A6"/>
      <w:spacing w:val="15"/>
      <w:szCs w:val="25"/>
    </w:rPr>
  </w:style>
  <w:style w:type="paragraph" w:styleId="a7">
    <w:name w:val="Quote"/>
    <w:basedOn w:val="a"/>
    <w:next w:val="a"/>
    <w:link w:val="a8"/>
    <w:uiPriority w:val="29"/>
    <w:qFormat/>
    <w:rsid w:val="005C7C7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5C7C7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C7C7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C7C7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C7C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5C7C7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5C7C77"/>
    <w:rPr>
      <w:b w:val="0"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1879</Words>
  <Characters>1987</Characters>
  <Application>Microsoft Office Word</Application>
  <DocSecurity>0</DocSecurity>
  <Lines>94</Lines>
  <Paragraphs>47</Paragraphs>
  <ScaleCrop>false</ScaleCrop>
  <Company/>
  <LinksUpToDate>false</LinksUpToDate>
  <CharactersWithSpaces>2006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淑雲 郭</dc:creator>
  <cp:keywords/>
  <dc:description/>
  <cp:lastModifiedBy>明智 高</cp:lastModifiedBy>
  <cp:revision>5</cp:revision>
  <dcterms:created xsi:type="dcterms:W3CDTF">2025-12-31T09:05:00Z</dcterms:created>
  <dcterms:modified xsi:type="dcterms:W3CDTF">2026-01-18T09:15:00Z</dcterms:modified>
</cp:coreProperties>
</file>