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822B" w14:textId="56BCFA44" w:rsidR="00281070" w:rsidRPr="00281070" w:rsidRDefault="00281070" w:rsidP="00281070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281070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序品第一》- 第141集乞法度眾 身心清淨</w:t>
      </w:r>
      <w:r w:rsidRPr="00281070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</w:p>
    <w:p w14:paraId="688B202D" w14:textId="0DE87D9C" w:rsidR="00281070" w:rsidRPr="00281070" w:rsidRDefault="00281070" w:rsidP="00281070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證嚴上人開示錄：比丘之義涵與大弟子皈依因緣簡報</w:t>
      </w:r>
    </w:p>
    <w:p w14:paraId="3C5E5961" w14:textId="77777777" w:rsidR="00281070" w:rsidRPr="00281070" w:rsidRDefault="00281070" w:rsidP="00281070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0A97C1D2" w14:textId="77777777" w:rsidR="00281070" w:rsidRPr="00281070" w:rsidRDefault="00281070" w:rsidP="0028107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本文件彙整證嚴上人針對《無量義經》與《法華經》精要之開示，核心探討「心」在修行中的關鍵地位，並詳盡解析</w:t>
      </w:r>
      <w:r w:rsidRPr="00F623C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「比丘」之四重深義：乞士、怖魔、破惡與淨命。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報告進一步記錄佛陀兩大弟子——大智舍利弗與神通目犍連——由外道轉入佛門的關鍵轉折，強調「諸法因緣」之理對啟發慧命的重要性。本文旨在闡明</w:t>
      </w:r>
      <w:r w:rsidRPr="00F623C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修行者應如何在現代社會中，透過「付出無所求」與「乞法養慧命」達成生命之清淨與功德之成就。</w:t>
      </w:r>
    </w:p>
    <w:p w14:paraId="7AF3581F" w14:textId="77777777" w:rsidR="00281070" w:rsidRPr="00281070" w:rsidRDefault="00281070" w:rsidP="00281070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心念與功德的辯證關係</w:t>
      </w:r>
    </w:p>
    <w:p w14:paraId="64889E5C" w14:textId="77777777" w:rsidR="00281070" w:rsidRPr="00281070" w:rsidRDefault="00281070" w:rsidP="0028107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修行之核心在於對「心」的掌握。根據開示內容，心念的定靜與混亂直接決定了修行者的生命價值：</w:t>
      </w:r>
    </w:p>
    <w:p w14:paraId="68302E6C" w14:textId="77777777" w:rsidR="00281070" w:rsidRPr="00281070" w:rsidRDefault="00281070" w:rsidP="00281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心為功德之源：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守持一念清淨心，能成就無量功德；反之，心念一旦混亂，則會造就業力。</w:t>
      </w:r>
    </w:p>
    <w:p w14:paraId="1B71E0DE" w14:textId="77777777" w:rsidR="00281070" w:rsidRPr="00281070" w:rsidRDefault="00281070" w:rsidP="00281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「功」與「德」的界定：</w:t>
      </w:r>
    </w:p>
    <w:p w14:paraId="7ACC733F" w14:textId="77777777" w:rsidR="00281070" w:rsidRPr="00281070" w:rsidRDefault="00281070" w:rsidP="0028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功（用功）：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指內心的修持與精進，將法體現在日常的身體力行中。</w:t>
      </w:r>
    </w:p>
    <w:p w14:paraId="106E267C" w14:textId="77777777" w:rsidR="00281070" w:rsidRPr="00281070" w:rsidRDefault="00281070" w:rsidP="0028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德（德行）：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指身體力行的結果必須對世間與大眾有利益，此種不可思議功德需眾人共同成就。</w:t>
      </w:r>
    </w:p>
    <w:p w14:paraId="6CC71A6B" w14:textId="77777777" w:rsidR="00281070" w:rsidRPr="00281070" w:rsidRDefault="00281070" w:rsidP="00281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修行境界：</w:t>
      </w:r>
      <w:r w:rsidRPr="00F623C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 xml:space="preserve"> 最終目標是達到「靜寂清澄」的境界，並成就「戒、定、慧、解脫、解脫知見」。</w:t>
      </w:r>
    </w:p>
    <w:p w14:paraId="2D4D5DA1" w14:textId="77777777" w:rsidR="00281070" w:rsidRPr="00281070" w:rsidRDefault="00281070" w:rsidP="00281070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「比丘」的多重義涵與修行本質</w:t>
      </w:r>
    </w:p>
    <w:p w14:paraId="0C0DAC8D" w14:textId="77777777" w:rsidR="00281070" w:rsidRPr="00281070" w:rsidRDefault="00281070" w:rsidP="0028107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「比丘」一詞不僅是修行者的稱謂，更包含了深刻的修行指南與生命態度：</w:t>
      </w:r>
    </w:p>
    <w:p w14:paraId="03A16682" w14:textId="77777777" w:rsidR="00281070" w:rsidRPr="00281070" w:rsidRDefault="00281070" w:rsidP="00281070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</w:t>
      </w:r>
      <w:r w:rsidRPr="00F623C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. 乞士（上求法、下求食）</w:t>
      </w:r>
    </w:p>
    <w:p w14:paraId="61E62F10" w14:textId="77777777" w:rsidR="00281070" w:rsidRPr="00F623CC" w:rsidRDefault="00281070" w:rsidP="00281070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比丘的基本本質為「乞士」，其核心目的在於維持生命與滋養慧命： | 類型 | 行為對象 | 目的 | | :--- | :--- | :--- | | </w:t>
      </w: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上乞法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623C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| 向如來（佛陀）乞法 | 滋養「慧命」（智慧的生命）</w:t>
      </w:r>
      <w:r w:rsidRPr="00F623CC">
        <w:rPr>
          <w:rFonts w:ascii="標楷體" w:hAnsi="標楷體" w:cs="新細明體"/>
          <w:b w:val="0"/>
          <w:color w:val="EE0000"/>
          <w:kern w:val="0"/>
          <w:szCs w:val="28"/>
          <w:lang w:bidi="ar-SA"/>
        </w:rPr>
        <w:t xml:space="preserve"> 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| | </w:t>
      </w: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下乞食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| </w:t>
      </w:r>
      <w:r w:rsidRPr="00F623C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向俗家眾乞食 | 資益「身命」（肉體的生命） |</w:t>
      </w:r>
    </w:p>
    <w:p w14:paraId="56A86E99" w14:textId="77777777" w:rsidR="00281070" w:rsidRPr="00F623CC" w:rsidRDefault="00281070" w:rsidP="00281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現代演繹：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雖然現代修行環境未必需要沿門托缽，但「乞法」的精神不變。</w:t>
      </w:r>
      <w:r w:rsidRPr="00F623C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修行者應將佛法視為資糧，透過「身體力行」將法轉化為自身營養。</w:t>
      </w:r>
    </w:p>
    <w:p w14:paraId="16A7D21B" w14:textId="77777777" w:rsidR="00281070" w:rsidRPr="00281070" w:rsidRDefault="00281070" w:rsidP="00281070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怖魔、破惡與淨命</w:t>
      </w:r>
    </w:p>
    <w:p w14:paraId="3F340636" w14:textId="77777777" w:rsidR="00281070" w:rsidRPr="00281070" w:rsidRDefault="00281070" w:rsidP="0028107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除乞士外，比丘亦具備以下三種特質：</w:t>
      </w:r>
    </w:p>
    <w:p w14:paraId="49DF2C7E" w14:textId="77777777" w:rsidR="00281070" w:rsidRPr="00F623CC" w:rsidRDefault="00281070" w:rsidP="00281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怖魔：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623C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並非畏懼外魔，而是以正氣降伏內心的「貪、瞋、癡」等心魔，使魔反過來畏怖修行者。</w:t>
      </w:r>
    </w:p>
    <w:p w14:paraId="11BAC6AD" w14:textId="77777777" w:rsidR="00281070" w:rsidRPr="00281070" w:rsidRDefault="00281070" w:rsidP="00281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破惡：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623C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去除心中所有惡念，並在面對外界惡事時能完全消解，不使惡行產生。</w:t>
      </w:r>
    </w:p>
    <w:p w14:paraId="456499B6" w14:textId="77777777" w:rsidR="00281070" w:rsidRPr="00F623CC" w:rsidRDefault="00281070" w:rsidP="00281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淨命（清淨生命）：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活在人群中為大眾付出，且</w:t>
      </w:r>
      <w:r w:rsidRPr="00F623C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秉持「付出無所求，還要說感恩」的態度，不求回報，保持生命的純淨。</w:t>
      </w:r>
    </w:p>
    <w:p w14:paraId="3F69C42B" w14:textId="77777777" w:rsidR="00281070" w:rsidRPr="00281070" w:rsidRDefault="00281070" w:rsidP="00281070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舍利弗與目犍連的皈依因緣</w:t>
      </w:r>
    </w:p>
    <w:p w14:paraId="5797726C" w14:textId="77777777" w:rsidR="00281070" w:rsidRPr="00281070" w:rsidRDefault="00281070" w:rsidP="0028107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舍利弗與目犍連作為佛陀最重要的弟子，其出家因緣反映了對真理的不懈追求：</w:t>
      </w:r>
    </w:p>
    <w:p w14:paraId="680D7A0A" w14:textId="77777777" w:rsidR="00281070" w:rsidRPr="00281070" w:rsidRDefault="00281070" w:rsidP="00281070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背景與求道契機</w:t>
      </w:r>
    </w:p>
    <w:p w14:paraId="680FC58B" w14:textId="77777777" w:rsidR="00281070" w:rsidRPr="00281070" w:rsidRDefault="00281070" w:rsidP="0028107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兩人原為婆羅門教領袖。舍利弗因目睹其師父臨終前對世間情愛（國王與夫人共殉之故事）仍有「突不破、看不開」的遺憾，並驚歎於師父雖有神通卻無法解脫痛苦，遂決定尋找更高的真理。</w:t>
      </w:r>
    </w:p>
    <w:p w14:paraId="401A65A0" w14:textId="77777777" w:rsidR="00281070" w:rsidRPr="00281070" w:rsidRDefault="00281070" w:rsidP="00281070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馬勝比丘的關鍵示現</w:t>
      </w:r>
    </w:p>
    <w:p w14:paraId="4FB975D4" w14:textId="77777777" w:rsidR="00281070" w:rsidRPr="00281070" w:rsidRDefault="00281070" w:rsidP="0028107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舍利弗在路上遇見威儀莊嚴、安詳舉步的</w:t>
      </w: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馬勝比丘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，被其修行形態所攝受，進而詢問其師承。馬勝比丘轉述佛陀教法之精髓：</w:t>
      </w:r>
    </w:p>
    <w:p w14:paraId="18EA2387" w14:textId="77777777" w:rsidR="00281070" w:rsidRPr="00281070" w:rsidRDefault="00281070" w:rsidP="0028107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623CC">
        <w:rPr>
          <w:rFonts w:ascii="標楷體" w:hAnsi="標楷體" w:cs="新細明體"/>
          <w:bCs/>
          <w:color w:val="auto"/>
          <w:kern w:val="0"/>
          <w:szCs w:val="28"/>
          <w:highlight w:val="yellow"/>
          <w:lang w:bidi="ar-SA"/>
        </w:rPr>
        <w:t>「諸法因緣生，諸法因緣滅。我佛大沙門，常作如是說。」</w:t>
      </w:r>
    </w:p>
    <w:p w14:paraId="6961BFE4" w14:textId="77777777" w:rsidR="00281070" w:rsidRPr="00281070" w:rsidRDefault="00281070" w:rsidP="00281070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3. 轉化與皈依</w:t>
      </w:r>
    </w:p>
    <w:p w14:paraId="660B8377" w14:textId="77777777" w:rsidR="00281070" w:rsidRPr="00281070" w:rsidRDefault="00281070" w:rsidP="0028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即刻覺悟：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舍利弗聽聞此偈後感到「醍醐灌頂」，全身輕安自在。</w:t>
      </w:r>
    </w:p>
    <w:p w14:paraId="62BF4CD0" w14:textId="77777777" w:rsidR="00281070" w:rsidRPr="00281070" w:rsidRDefault="00281070" w:rsidP="0028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信守約定：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舍利弗將此法轉告好友目犍連，目犍連聽聞後亦生大歡喜心，全身毛孔豎立。</w:t>
      </w:r>
    </w:p>
    <w:p w14:paraId="5FF2A692" w14:textId="77777777" w:rsidR="00281070" w:rsidRPr="00281070" w:rsidRDefault="00281070" w:rsidP="0028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集體皈投：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兩人深感此即是大覺者的教法，遂率領弟子共同皈依釋迦牟尼佛。</w:t>
      </w:r>
    </w:p>
    <w:p w14:paraId="7AED152A" w14:textId="77777777" w:rsidR="00281070" w:rsidRPr="00281070" w:rsidRDefault="00281070" w:rsidP="00281070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結論：當代修行的實踐之道</w:t>
      </w:r>
    </w:p>
    <w:p w14:paraId="7451DC33" w14:textId="77777777" w:rsidR="00281070" w:rsidRPr="00281070" w:rsidRDefault="00281070" w:rsidP="00281070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本開示總結了修行者在現代社會應有的覺知：</w:t>
      </w:r>
    </w:p>
    <w:p w14:paraId="037978C2" w14:textId="77777777" w:rsidR="00281070" w:rsidRPr="00281070" w:rsidRDefault="00281070" w:rsidP="002810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珍惜修行環境：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現代修行者多不必為衣食憂慮，應更能專心「乞法」以滋養慧命，並集種種因緣福利眾生。</w:t>
      </w:r>
    </w:p>
    <w:p w14:paraId="661A5110" w14:textId="77777777" w:rsidR="00281070" w:rsidRPr="00F623CC" w:rsidRDefault="00281070" w:rsidP="002810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法身常在：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623C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佛陀色身雖入滅，但法身猶存。</w:t>
      </w:r>
      <w:r w:rsidRPr="00F623C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只要抱持「敬佛如佛在」的虔誠，智慧便能獲得滋潤，啟發本具的佛性。</w:t>
      </w:r>
    </w:p>
    <w:p w14:paraId="1AA4C18F" w14:textId="77777777" w:rsidR="00281070" w:rsidRPr="00F623CC" w:rsidRDefault="00281070" w:rsidP="002810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281070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行為的影響力：</w:t>
      </w:r>
      <w:r w:rsidRPr="00281070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F623C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舍利弗與目犍連的皈依始於馬勝比丘安詳的儀軌。這證明</w:t>
      </w:r>
      <w:r w:rsidRPr="00F623C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修行的「德」能感化他人，</w:t>
      </w:r>
      <w:r w:rsidRPr="00F623C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修行者應時刻用心於言行舉止，使法在人間流傳。</w:t>
      </w:r>
    </w:p>
    <w:p w14:paraId="59DB595E" w14:textId="77777777" w:rsidR="0036778A" w:rsidRPr="00281070" w:rsidRDefault="0036778A">
      <w:pPr>
        <w:rPr>
          <w:rFonts w:ascii="標楷體" w:hAnsi="標楷體"/>
          <w:szCs w:val="28"/>
        </w:rPr>
      </w:pPr>
    </w:p>
    <w:p w14:paraId="3FDDA059" w14:textId="77777777" w:rsidR="00CF72B0" w:rsidRPr="00281070" w:rsidRDefault="00CF72B0">
      <w:pPr>
        <w:rPr>
          <w:rFonts w:ascii="標楷體" w:hAnsi="標楷體"/>
          <w:szCs w:val="28"/>
        </w:rPr>
      </w:pPr>
    </w:p>
    <w:sectPr w:rsidR="00CF72B0" w:rsidRPr="00281070" w:rsidSect="00281070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554"/>
    <w:multiLevelType w:val="multilevel"/>
    <w:tmpl w:val="309E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A0231"/>
    <w:multiLevelType w:val="multilevel"/>
    <w:tmpl w:val="8DA8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95DD8"/>
    <w:multiLevelType w:val="multilevel"/>
    <w:tmpl w:val="C8CE3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A3A2B"/>
    <w:multiLevelType w:val="multilevel"/>
    <w:tmpl w:val="69B4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83446"/>
    <w:multiLevelType w:val="multilevel"/>
    <w:tmpl w:val="2A86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701095">
    <w:abstractNumId w:val="4"/>
  </w:num>
  <w:num w:numId="2" w16cid:durableId="1798374029">
    <w:abstractNumId w:val="3"/>
  </w:num>
  <w:num w:numId="3" w16cid:durableId="135684783">
    <w:abstractNumId w:val="0"/>
  </w:num>
  <w:num w:numId="4" w16cid:durableId="917515431">
    <w:abstractNumId w:val="1"/>
  </w:num>
  <w:num w:numId="5" w16cid:durableId="301498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70"/>
    <w:rsid w:val="001B40FE"/>
    <w:rsid w:val="00281070"/>
    <w:rsid w:val="0036778A"/>
    <w:rsid w:val="004569BF"/>
    <w:rsid w:val="00CF72B0"/>
    <w:rsid w:val="00D5673C"/>
    <w:rsid w:val="00F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FEF9"/>
  <w15:chartTrackingRefBased/>
  <w15:docId w15:val="{CA0F0373-B980-4FE5-9E4A-A8FFE805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07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07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07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07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07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07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81070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28107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281070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281070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28107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8107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8107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8107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810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1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281070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2810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281070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2810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81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0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810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1070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明智 高</cp:lastModifiedBy>
  <cp:revision>4</cp:revision>
  <dcterms:created xsi:type="dcterms:W3CDTF">2026-06-22T02:29:00Z</dcterms:created>
  <dcterms:modified xsi:type="dcterms:W3CDTF">2026-06-22T04:58:00Z</dcterms:modified>
</cp:coreProperties>
</file>